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CE818D"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Cs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奉节县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eastAsia="zh-CN"/>
        </w:rPr>
        <w:t>鱼复街道办事处</w:t>
      </w:r>
    </w:p>
    <w:p w14:paraId="21B2693C">
      <w:pPr>
        <w:spacing w:line="600" w:lineRule="exact"/>
        <w:jc w:val="center"/>
        <w:rPr>
          <w:rFonts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关于乡镇信访工作专项资金支出自评报告</w:t>
      </w:r>
    </w:p>
    <w:p w14:paraId="5DA247CF">
      <w:pPr>
        <w:spacing w:line="600" w:lineRule="exact"/>
        <w:ind w:firstLine="560" w:firstLineChars="200"/>
        <w:rPr>
          <w:rFonts w:ascii="方正仿宋_GBK"/>
          <w:sz w:val="28"/>
          <w:szCs w:val="28"/>
        </w:rPr>
      </w:pPr>
    </w:p>
    <w:p w14:paraId="0B11A2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一、绩效目标分解下达情况</w:t>
      </w:r>
    </w:p>
    <w:p w14:paraId="267AFE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320" w:firstLine="640" w:firstLineChars="200"/>
        <w:jc w:val="left"/>
        <w:textAlignment w:val="auto"/>
        <w:rPr>
          <w:rFonts w:hint="default" w:ascii="方正仿宋_GBK" w:hAnsi="方正仿宋_GBK" w:eastAsia="方正仿宋_GBK" w:cs="方正仿宋_GBK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Cs w:val="32"/>
        </w:rPr>
        <w:t>县财政下达项目绩效目标情况。奉节县财政局《关于下达乡镇信访工作维稳专项经费预算的通知》（奉节财行〔2023〕139号），在下达资金预算时同步下达了绩效目标。</w:t>
      </w:r>
    </w:p>
    <w:p w14:paraId="7BFC33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二、绩效目标完成情况分析</w:t>
      </w:r>
    </w:p>
    <w:p w14:paraId="32F306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楷体_GBK" w:hAnsi="方正楷体_GBK" w:eastAsia="方正楷体_GBK" w:cs="方正楷体_GBK"/>
          <w:bCs/>
          <w:szCs w:val="32"/>
        </w:rPr>
      </w:pPr>
      <w:r>
        <w:rPr>
          <w:rFonts w:hint="eastAsia" w:ascii="方正楷体_GBK" w:hAnsi="方正楷体_GBK" w:eastAsia="方正楷体_GBK" w:cs="方正楷体_GBK"/>
          <w:bCs/>
          <w:szCs w:val="32"/>
        </w:rPr>
        <w:t>（一）资金投入情况分析。</w:t>
      </w:r>
    </w:p>
    <w:p w14:paraId="5128D9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1.项目资金到位情况，该项目资金总额共计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5</w:t>
      </w:r>
      <w:r>
        <w:rPr>
          <w:rFonts w:hint="eastAsia" w:ascii="方正仿宋_GBK" w:hAnsi="方正仿宋_GBK" w:cs="方正仿宋_GBK"/>
          <w:szCs w:val="32"/>
        </w:rPr>
        <w:t>0000元全额到位，资金到位率100%。</w:t>
      </w:r>
    </w:p>
    <w:p w14:paraId="1F4735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2.项目资金执行情况，该项目资金总额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5</w:t>
      </w:r>
      <w:r>
        <w:rPr>
          <w:rFonts w:hint="eastAsia" w:ascii="方正仿宋_GBK" w:hAnsi="方正仿宋_GBK" w:cs="方正仿宋_GBK"/>
          <w:szCs w:val="32"/>
        </w:rPr>
        <w:t>0000元已全部用于项目建设，执行率100%。</w:t>
      </w:r>
    </w:p>
    <w:p w14:paraId="1BC636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3.项目资金管理情况</w:t>
      </w:r>
      <w:r>
        <w:rPr>
          <w:rFonts w:hint="eastAsia" w:ascii="方正仿宋_GBK" w:hAnsi="方正仿宋_GBK" w:cs="方正仿宋_GBK"/>
          <w:szCs w:val="32"/>
          <w:lang w:eastAsia="zh-CN"/>
        </w:rPr>
        <w:t>。</w:t>
      </w:r>
      <w:r>
        <w:rPr>
          <w:rFonts w:hint="eastAsia" w:ascii="方正仿宋_GBK" w:hAnsi="方正仿宋_GBK" w:cs="方正仿宋_GBK"/>
          <w:szCs w:val="32"/>
        </w:rPr>
        <w:t>在项目资金管理上强化责任意识，建立健全管理制度，落实配套</w:t>
      </w:r>
      <w:r>
        <w:rPr>
          <w:rFonts w:hint="eastAsia" w:ascii="方正仿宋_GBK" w:hAnsi="方正仿宋_GBK" w:cs="方正仿宋_GBK"/>
          <w:szCs w:val="32"/>
          <w:lang w:eastAsia="zh-CN"/>
        </w:rPr>
        <w:t>资金</w:t>
      </w:r>
      <w:r>
        <w:rPr>
          <w:rFonts w:hint="eastAsia" w:ascii="方正仿宋_GBK" w:hAnsi="方正仿宋_GBK" w:cs="方正仿宋_GBK"/>
          <w:szCs w:val="32"/>
        </w:rPr>
        <w:t>，成立专门小组负责该项目的资金管理，定期调度资金拨付情况，提高预算执行效率和资金使用效益，确保财政资金使用安全。</w:t>
      </w:r>
    </w:p>
    <w:p w14:paraId="10E86D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楷体_GBK" w:hAnsi="方正楷体_GBK" w:eastAsia="方正楷体_GBK" w:cs="方正楷体_GBK"/>
          <w:bCs/>
          <w:szCs w:val="32"/>
        </w:rPr>
      </w:pPr>
      <w:r>
        <w:rPr>
          <w:rFonts w:hint="eastAsia" w:ascii="方正楷体_GBK" w:hAnsi="方正楷体_GBK" w:eastAsia="方正楷体_GBK" w:cs="方正楷体_GBK"/>
          <w:bCs/>
          <w:szCs w:val="32"/>
        </w:rPr>
        <w:t>（二）总体绩效目标完成情况分析。</w:t>
      </w:r>
    </w:p>
    <w:p w14:paraId="7BBE8BB0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40" w:firstLineChars="200"/>
        <w:textAlignment w:val="auto"/>
        <w:rPr>
          <w:rFonts w:hint="default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该项目绩效自评按照“公开、公平、公正”的原则进行。以相关法律法规、规章以及奉节县有关文件等为依据，采用定性与定量相结合的评价方法，科学、合理地进行评价，并通过收集相关文件及资料，现场调研，为评价结论提供充分的依据。重点对项目管理、项目产出、项目效果、项目满意度等评价指标进行评价分析，该项目总体绩效目标完成情况较好。 </w:t>
      </w:r>
    </w:p>
    <w:p w14:paraId="13F872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（三）绩效目标完成情况分析。</w:t>
      </w:r>
    </w:p>
    <w:p w14:paraId="59CFF8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1.产出指标完成情况分析</w:t>
      </w:r>
    </w:p>
    <w:p w14:paraId="5C609EAC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cs="方正仿宋_GBK"/>
          <w:szCs w:val="32"/>
          <w:lang w:val="en-US"/>
        </w:rPr>
      </w:pP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 xml:space="preserve">产出指标设定分值为50分，自评得分50分，具体完成情况分析如下： </w:t>
      </w:r>
    </w:p>
    <w:p w14:paraId="4419DB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Cs w:val="32"/>
        </w:rPr>
        <w:t>（1）数量指标。稳控重点监测人员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32人</w:t>
      </w:r>
      <w:r>
        <w:rPr>
          <w:rFonts w:hint="eastAsia" w:ascii="方正仿宋_GBK" w:hAnsi="方正仿宋_GBK" w:cs="方正仿宋_GBK"/>
          <w:szCs w:val="32"/>
          <w:lang w:eastAsia="zh-CN"/>
        </w:rPr>
        <w:t>，分值为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10分</w:t>
      </w:r>
      <w:r>
        <w:rPr>
          <w:rFonts w:hint="eastAsia" w:ascii="方正仿宋_GBK" w:hAnsi="方正仿宋_GBK" w:cs="方正仿宋_GBK"/>
          <w:szCs w:val="32"/>
          <w:lang w:eastAsia="zh-CN"/>
        </w:rPr>
        <w:t>。派专人进行心理疏导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，</w:t>
      </w:r>
      <w:r>
        <w:rPr>
          <w:rFonts w:hint="eastAsia" w:ascii="方正仿宋_GBK" w:hAnsi="方正仿宋_GBK" w:cs="方正仿宋_GBK"/>
          <w:szCs w:val="32"/>
          <w:lang w:eastAsia="zh-CN"/>
        </w:rPr>
        <w:t>本次自评得分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10分。</w:t>
      </w:r>
    </w:p>
    <w:p w14:paraId="5F4379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Cs w:val="32"/>
          <w:lang w:eastAsia="zh-CN"/>
        </w:rPr>
      </w:pPr>
      <w:r>
        <w:rPr>
          <w:rFonts w:hint="eastAsia" w:ascii="方正仿宋_GBK" w:hAnsi="方正仿宋_GBK" w:cs="方正仿宋_GBK"/>
          <w:szCs w:val="32"/>
        </w:rPr>
        <w:t>（2）质量指标。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信访矛盾得到有效治理≥90%，分值20分</w:t>
      </w:r>
      <w:r>
        <w:rPr>
          <w:rFonts w:hint="eastAsia" w:ascii="方正仿宋_GBK" w:hAnsi="方正仿宋_GBK" w:cs="方正仿宋_GBK"/>
          <w:szCs w:val="32"/>
        </w:rPr>
        <w:t>。</w:t>
      </w:r>
      <w:r>
        <w:rPr>
          <w:rFonts w:hint="eastAsia" w:ascii="方正仿宋_GBK" w:hAnsi="方正仿宋_GBK" w:cs="方正仿宋_GBK"/>
          <w:szCs w:val="32"/>
          <w:lang w:eastAsia="zh-CN"/>
        </w:rPr>
        <w:t>对信访诉求进行有效化解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，</w:t>
      </w:r>
      <w:r>
        <w:rPr>
          <w:rFonts w:hint="eastAsia" w:ascii="方正仿宋_GBK" w:hAnsi="方正仿宋_GBK" w:cs="方正仿宋_GBK"/>
          <w:szCs w:val="32"/>
          <w:lang w:eastAsia="zh-CN"/>
        </w:rPr>
        <w:t>本次自评得分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20分</w:t>
      </w:r>
      <w:r>
        <w:rPr>
          <w:rFonts w:hint="eastAsia" w:ascii="方正仿宋_GBK" w:hAnsi="方正仿宋_GBK" w:cs="方正仿宋_GBK"/>
          <w:szCs w:val="32"/>
          <w:lang w:eastAsia="zh-CN"/>
        </w:rPr>
        <w:t>。</w:t>
      </w:r>
    </w:p>
    <w:p w14:paraId="4DD0CC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Cs w:val="32"/>
        </w:rPr>
        <w:t>（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3</w:t>
      </w:r>
      <w:r>
        <w:rPr>
          <w:rFonts w:hint="eastAsia" w:ascii="方正仿宋_GBK" w:hAnsi="方正仿宋_GBK" w:cs="方正仿宋_GBK"/>
          <w:szCs w:val="32"/>
        </w:rPr>
        <w:t>）时效指标。信访化解率≥90%</w:t>
      </w:r>
      <w:r>
        <w:rPr>
          <w:rFonts w:hint="eastAsia" w:ascii="方正仿宋_GBK" w:hAnsi="方正仿宋_GBK" w:cs="方正仿宋_GBK"/>
          <w:szCs w:val="32"/>
          <w:lang w:eastAsia="zh-CN"/>
        </w:rPr>
        <w:t>，分值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20分。</w:t>
      </w:r>
      <w:r>
        <w:rPr>
          <w:rFonts w:hint="eastAsia" w:ascii="方正仿宋_GBK" w:hAnsi="方正仿宋_GBK" w:cs="方正仿宋_GBK"/>
          <w:szCs w:val="32"/>
          <w:lang w:eastAsia="zh-CN"/>
        </w:rPr>
        <w:t>32人中符合政策的均已为其解决诉求，不符合政策的已给与了政策解释，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本次自评得分20分。</w:t>
      </w:r>
    </w:p>
    <w:p w14:paraId="6C7E68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2.效益指标完成情况分析。</w:t>
      </w:r>
    </w:p>
    <w:p w14:paraId="10FCB9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lang w:val="en-US" w:eastAsia="zh-CN" w:bidi="ar-SA"/>
        </w:rPr>
        <w:t>效益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指标设定分值为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lang w:val="en-US" w:eastAsia="zh-CN" w:bidi="ar-SA"/>
        </w:rPr>
        <w:t>30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分，自评得分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lang w:val="en-US" w:eastAsia="zh-CN" w:bidi="ar-SA"/>
        </w:rPr>
        <w:t>30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分，具体完成情况分析如下：</w:t>
      </w:r>
    </w:p>
    <w:p w14:paraId="030C17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（1）社会效益。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辖区安全稳定持续向好</w:t>
      </w:r>
      <w:r>
        <w:rPr>
          <w:rFonts w:hint="eastAsia" w:ascii="方正仿宋_GBK" w:hAnsi="方正仿宋_GBK" w:cs="方正仿宋_GBK"/>
          <w:szCs w:val="32"/>
          <w:lang w:eastAsia="zh-CN"/>
        </w:rPr>
        <w:t>，分值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30分。全年处于安全稳定</w:t>
      </w:r>
      <w:r>
        <w:rPr>
          <w:rFonts w:hint="eastAsia" w:ascii="方正仿宋_GBK" w:hAnsi="方正仿宋_GBK" w:cs="方正仿宋_GBK"/>
          <w:szCs w:val="32"/>
          <w:lang w:eastAsia="zh-CN"/>
        </w:rPr>
        <w:t>。本次自评得分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30分</w:t>
      </w:r>
      <w:r>
        <w:rPr>
          <w:rFonts w:hint="eastAsia" w:ascii="方正仿宋_GBK" w:hAnsi="方正仿宋_GBK" w:cs="方正仿宋_GBK"/>
          <w:szCs w:val="32"/>
        </w:rPr>
        <w:t>。</w:t>
      </w:r>
    </w:p>
    <w:p w14:paraId="3C9EFC38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Chars="0" w:firstLine="640" w:firstLineChars="200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3.满意度指标完成情况分析。</w:t>
      </w:r>
    </w:p>
    <w:p w14:paraId="6B4D2CFD">
      <w:pPr>
        <w:pStyle w:val="2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</w:rPr>
        <w:t>满意度指标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设定分值为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lang w:val="en-US" w:eastAsia="zh-CN" w:bidi="ar-SA"/>
        </w:rPr>
        <w:t>1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0分，自评得分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lang w:val="en-US" w:eastAsia="zh-CN" w:bidi="ar-SA"/>
        </w:rPr>
        <w:t>10</w:t>
      </w:r>
      <w:r>
        <w:rPr>
          <w:rFonts w:hint="eastAsia" w:ascii="方正仿宋_GBK" w:hAnsi="方正仿宋_GBK" w:eastAsia="方正仿宋_GBK" w:cs="方正仿宋_GBK"/>
          <w:color w:val="auto"/>
          <w:kern w:val="2"/>
          <w:sz w:val="32"/>
          <w:szCs w:val="32"/>
          <w:lang w:val="en-US" w:eastAsia="zh-CN" w:bidi="ar-SA"/>
        </w:rPr>
        <w:t>分</w:t>
      </w:r>
      <w:r>
        <w:rPr>
          <w:rFonts w:hint="eastAsia" w:ascii="方正仿宋_GBK" w:hAnsi="方正仿宋_GBK" w:cs="方正仿宋_GBK"/>
          <w:color w:val="auto"/>
          <w:kern w:val="2"/>
          <w:sz w:val="32"/>
          <w:szCs w:val="32"/>
          <w:lang w:val="en-US" w:eastAsia="zh-CN" w:bidi="ar-SA"/>
        </w:rPr>
        <w:t>。</w:t>
      </w:r>
    </w:p>
    <w:p w14:paraId="38A9A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/>
        <w:textAlignment w:val="auto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三、绩效自评结果情况</w:t>
      </w:r>
    </w:p>
    <w:p w14:paraId="79F21563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16" w:firstLineChars="200"/>
        <w:textAlignment w:val="auto"/>
        <w:rPr>
          <w:rFonts w:hint="eastAsia" w:ascii="Times New Roman" w:hAnsi="Times New Roman" w:eastAsia="方正仿宋_GBK" w:cs="Times New Roman"/>
          <w:spacing w:val="-6"/>
          <w:kern w:val="2"/>
          <w:sz w:val="32"/>
          <w:szCs w:val="24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spacing w:val="-6"/>
          <w:kern w:val="2"/>
          <w:sz w:val="32"/>
          <w:szCs w:val="24"/>
          <w:lang w:val="en-US" w:eastAsia="zh-CN" w:bidi="ar-SA"/>
        </w:rPr>
        <w:t>该项目绩效评价设定分值为100分，通过认真开展单位项目支出绩效目标自评，本项目综合评分</w:t>
      </w:r>
      <w:r>
        <w:rPr>
          <w:rFonts w:hint="eastAsia" w:eastAsia="方正仿宋_GBK" w:cs="Times New Roman"/>
          <w:spacing w:val="-6"/>
          <w:kern w:val="2"/>
          <w:sz w:val="32"/>
          <w:szCs w:val="24"/>
          <w:lang w:val="en-US" w:eastAsia="zh-CN" w:bidi="ar-SA"/>
        </w:rPr>
        <w:t>100</w:t>
      </w:r>
      <w:r>
        <w:rPr>
          <w:rFonts w:hint="eastAsia" w:ascii="Times New Roman" w:hAnsi="Times New Roman" w:eastAsia="方正仿宋_GBK" w:cs="Times New Roman"/>
          <w:spacing w:val="-6"/>
          <w:kern w:val="2"/>
          <w:sz w:val="32"/>
          <w:szCs w:val="24"/>
          <w:lang w:val="en-US" w:eastAsia="zh-CN" w:bidi="ar-SA"/>
        </w:rPr>
        <w:t>分，评价结果为“优”。</w:t>
      </w:r>
    </w:p>
    <w:p w14:paraId="405DCD9C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16" w:firstLineChars="200"/>
        <w:textAlignment w:val="auto"/>
        <w:rPr>
          <w:rFonts w:hint="eastAsia" w:ascii="Times New Roman" w:hAnsi="Times New Roman" w:eastAsia="方正仿宋_GBK" w:cs="Times New Roman"/>
          <w:spacing w:val="-6"/>
          <w:kern w:val="2"/>
          <w:sz w:val="32"/>
          <w:szCs w:val="24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spacing w:val="-6"/>
          <w:kern w:val="2"/>
          <w:sz w:val="32"/>
          <w:szCs w:val="24"/>
          <w:lang w:val="en-US" w:eastAsia="zh-CN" w:bidi="ar-SA"/>
        </w:rPr>
        <w:t>根据评价得分的分值，确定相应的评价等级，满分100分。100分≧a≧90分，评定为“优”；90分&gt;a≧80分，评定为“良”；80分&gt;a≧60分，评定为“中”；60分&gt;a，评定为“差”。</w:t>
      </w:r>
    </w:p>
    <w:p w14:paraId="4FEEFA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四、偏离绩效目标的原因和下一步改进措施</w:t>
      </w:r>
    </w:p>
    <w:p w14:paraId="52CE73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Cs w:val="32"/>
        </w:rPr>
        <w:t>乡镇信访工作专项资金的实施，没有偏离绩效目标。</w:t>
      </w:r>
      <w:r>
        <w:rPr>
          <w:rFonts w:hint="eastAsia" w:ascii="方正仿宋_GBK" w:hAnsi="方正仿宋_GBK" w:cs="方正仿宋_GBK"/>
          <w:szCs w:val="32"/>
          <w:lang w:val="en-US" w:eastAsia="zh-CN"/>
        </w:rPr>
        <w:t xml:space="preserve"> </w:t>
      </w:r>
    </w:p>
    <w:p w14:paraId="2BBF99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五、其他需要说明的问题</w:t>
      </w:r>
    </w:p>
    <w:p w14:paraId="38A694BD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本单位此次的乡镇信访工作专项资金绩效自评结果，已按照要求公开公示，对接下来相关工作展开，起到了良好的示范和促进作用，本单位将继续保持当前的工作态势，严格要求不断地提升相关工作水平。</w:t>
      </w:r>
    </w:p>
    <w:p w14:paraId="2574C6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方正仿宋_GBK" w:hAnsi="方正仿宋_GBK" w:cs="方正仿宋_GBK"/>
          <w:kern w:val="2"/>
          <w:sz w:val="32"/>
          <w:szCs w:val="32"/>
          <w:lang w:val="en-US" w:eastAsia="zh-CN" w:bidi="ar-SA"/>
        </w:rPr>
        <w:t>附件：</w:t>
      </w:r>
      <w:r>
        <w:rPr>
          <w:rFonts w:hint="eastAsia" w:ascii="方正仿宋_GBK" w:hAnsi="方正仿宋_GBK" w:cs="方正仿宋_GBK"/>
          <w:szCs w:val="32"/>
        </w:rPr>
        <w:t>乡镇信访工作专项资金</w:t>
      </w:r>
      <w:r>
        <w:rPr>
          <w:rFonts w:hint="eastAsia" w:ascii="方正仿宋_GBK" w:hAnsi="方正仿宋_GBK" w:cs="方正仿宋_GBK"/>
          <w:kern w:val="2"/>
          <w:sz w:val="32"/>
          <w:szCs w:val="32"/>
          <w:lang w:val="en-US" w:eastAsia="zh-CN" w:bidi="ar-SA"/>
        </w:rPr>
        <w:t>绩效目标自评表</w:t>
      </w:r>
    </w:p>
    <w:p w14:paraId="483720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方正仿宋_GBK" w:hAnsi="方正仿宋_GBK" w:cs="方正仿宋_GBK"/>
          <w:szCs w:val="32"/>
        </w:rPr>
      </w:pPr>
    </w:p>
    <w:p w14:paraId="19A086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 xml:space="preserve">     </w:t>
      </w:r>
    </w:p>
    <w:p w14:paraId="4CF93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ascii="方正仿宋_GBK" w:hAnsi="方正仿宋_GBK" w:eastAsia="方正仿宋_GBK" w:cs="方正仿宋_GBK"/>
          <w:szCs w:val="32"/>
          <w:lang w:eastAsia="zh-CN"/>
        </w:rPr>
      </w:pPr>
      <w:r>
        <w:rPr>
          <w:rFonts w:hint="eastAsia" w:ascii="方正仿宋_GBK" w:hAnsi="方正仿宋_GBK" w:cs="方正仿宋_GBK"/>
          <w:szCs w:val="32"/>
          <w:lang w:val="en-US" w:eastAsia="zh-CN"/>
        </w:rPr>
        <w:t xml:space="preserve">                      </w:t>
      </w:r>
      <w:r>
        <w:rPr>
          <w:rFonts w:hint="eastAsia" w:ascii="方正仿宋_GBK" w:hAnsi="方正仿宋_GBK" w:cs="方正仿宋_GBK"/>
          <w:szCs w:val="32"/>
        </w:rPr>
        <w:t>奉节县</w:t>
      </w:r>
      <w:r>
        <w:rPr>
          <w:rFonts w:hint="eastAsia" w:ascii="方正仿宋_GBK" w:hAnsi="方正仿宋_GBK" w:cs="方正仿宋_GBK"/>
          <w:szCs w:val="32"/>
          <w:lang w:eastAsia="zh-CN"/>
        </w:rPr>
        <w:t>鱼复</w:t>
      </w:r>
      <w:bookmarkStart w:id="0" w:name="_GoBack"/>
      <w:bookmarkEnd w:id="0"/>
      <w:r>
        <w:rPr>
          <w:rFonts w:hint="eastAsia" w:ascii="方正仿宋_GBK" w:hAnsi="方正仿宋_GBK" w:cs="方正仿宋_GBK"/>
          <w:szCs w:val="32"/>
          <w:lang w:eastAsia="zh-CN"/>
        </w:rPr>
        <w:t>街道办事处</w:t>
      </w:r>
    </w:p>
    <w:p w14:paraId="3F58432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</w:pPr>
      <w:r>
        <w:rPr>
          <w:rFonts w:hint="eastAsia" w:ascii="方正仿宋_GBK" w:hAnsi="方正仿宋_GBK" w:cs="方正仿宋_GBK"/>
          <w:szCs w:val="32"/>
        </w:rPr>
        <w:t xml:space="preserve">                       </w:t>
      </w:r>
      <w:r>
        <w:rPr>
          <w:rFonts w:hint="eastAsia" w:ascii="方正仿宋_GBK" w:hAnsi="方正仿宋_GBK" w:cs="方正仿宋_GBK"/>
          <w:szCs w:val="32"/>
          <w:lang w:val="en-US" w:eastAsia="zh-CN"/>
        </w:rPr>
        <w:t xml:space="preserve">        </w:t>
      </w:r>
      <w:r>
        <w:rPr>
          <w:rFonts w:hint="eastAsia" w:ascii="方正仿宋_GBK" w:hAnsi="方正仿宋_GBK" w:eastAsia="方正仿宋_GBK" w:cs="方正仿宋_GBK"/>
          <w:szCs w:val="32"/>
        </w:rPr>
        <w:t xml:space="preserve"> 202</w:t>
      </w:r>
      <w:r>
        <w:rPr>
          <w:rFonts w:hint="eastAsia" w:ascii="方正仿宋_GBK" w:hAnsi="方正仿宋_GBK" w:eastAsia="方正仿宋_GBK" w:cs="方正仿宋_GBK"/>
          <w:szCs w:val="32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szCs w:val="32"/>
        </w:rPr>
        <w:t>年</w:t>
      </w:r>
      <w:r>
        <w:rPr>
          <w:rFonts w:hint="eastAsia" w:ascii="方正仿宋_GBK" w:hAnsi="方正仿宋_GBK" w:eastAsia="方正仿宋_GBK" w:cs="方正仿宋_GBK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Cs w:val="32"/>
        </w:rPr>
        <w:t>月</w:t>
      </w:r>
      <w:r>
        <w:rPr>
          <w:rFonts w:hint="eastAsia" w:ascii="方正仿宋_GBK" w:hAnsi="方正仿宋_GBK" w:eastAsia="方正仿宋_GBK" w:cs="方正仿宋_GBK"/>
          <w:szCs w:val="32"/>
          <w:lang w:val="en-US" w:eastAsia="zh-CN"/>
        </w:rPr>
        <w:t>17</w:t>
      </w:r>
      <w:r>
        <w:rPr>
          <w:rFonts w:hint="eastAsia" w:ascii="方正仿宋_GBK" w:hAnsi="方正仿宋_GBK" w:eastAsia="方正仿宋_GBK" w:cs="方正仿宋_GBK"/>
          <w:szCs w:val="32"/>
        </w:rPr>
        <w:t>日</w:t>
      </w:r>
    </w:p>
    <w:p w14:paraId="1C1123C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2NWMyZjNiYTBkOWU4ZjkxMjZhZGRlZGE2ZTRjMTcifQ=="/>
  </w:docVars>
  <w:rsids>
    <w:rsidRoot w:val="363C0CCE"/>
    <w:rsid w:val="0086224E"/>
    <w:rsid w:val="00E6773D"/>
    <w:rsid w:val="0103164E"/>
    <w:rsid w:val="04447FB3"/>
    <w:rsid w:val="04D616A1"/>
    <w:rsid w:val="054D733B"/>
    <w:rsid w:val="06675118"/>
    <w:rsid w:val="06F9692F"/>
    <w:rsid w:val="078132CC"/>
    <w:rsid w:val="0CAF4438"/>
    <w:rsid w:val="0D4B4161"/>
    <w:rsid w:val="0F2F1860"/>
    <w:rsid w:val="0F753717"/>
    <w:rsid w:val="0F895414"/>
    <w:rsid w:val="11851C0B"/>
    <w:rsid w:val="11A55E09"/>
    <w:rsid w:val="11A976A8"/>
    <w:rsid w:val="11C72224"/>
    <w:rsid w:val="161552E4"/>
    <w:rsid w:val="165568D1"/>
    <w:rsid w:val="1A5B5BFF"/>
    <w:rsid w:val="1C365FDC"/>
    <w:rsid w:val="1E6D7CAF"/>
    <w:rsid w:val="1F6115C2"/>
    <w:rsid w:val="1F7E7451"/>
    <w:rsid w:val="1F8D0609"/>
    <w:rsid w:val="1FF00B97"/>
    <w:rsid w:val="215533A8"/>
    <w:rsid w:val="230B68A4"/>
    <w:rsid w:val="23FF78C4"/>
    <w:rsid w:val="27CA4FB0"/>
    <w:rsid w:val="2849353B"/>
    <w:rsid w:val="2AF93B4A"/>
    <w:rsid w:val="2C46226B"/>
    <w:rsid w:val="2CB371D5"/>
    <w:rsid w:val="2D265BF9"/>
    <w:rsid w:val="2DBE4083"/>
    <w:rsid w:val="2E3368E6"/>
    <w:rsid w:val="2FBB2F70"/>
    <w:rsid w:val="30922B28"/>
    <w:rsid w:val="31E00A6C"/>
    <w:rsid w:val="33D11302"/>
    <w:rsid w:val="351F7AFD"/>
    <w:rsid w:val="35392E5D"/>
    <w:rsid w:val="356A28DD"/>
    <w:rsid w:val="363C0CCE"/>
    <w:rsid w:val="3E160F33"/>
    <w:rsid w:val="3E416D36"/>
    <w:rsid w:val="3F11495A"/>
    <w:rsid w:val="3FA23805"/>
    <w:rsid w:val="41717932"/>
    <w:rsid w:val="42303B94"/>
    <w:rsid w:val="428B1700"/>
    <w:rsid w:val="42DB26FF"/>
    <w:rsid w:val="46641814"/>
    <w:rsid w:val="467001B9"/>
    <w:rsid w:val="46911EDD"/>
    <w:rsid w:val="4AE41175"/>
    <w:rsid w:val="4B145E6F"/>
    <w:rsid w:val="4C3D5553"/>
    <w:rsid w:val="4E093099"/>
    <w:rsid w:val="4F1418FD"/>
    <w:rsid w:val="4F93361D"/>
    <w:rsid w:val="4FF37764"/>
    <w:rsid w:val="503542D0"/>
    <w:rsid w:val="53566988"/>
    <w:rsid w:val="544B35ED"/>
    <w:rsid w:val="54F9581D"/>
    <w:rsid w:val="56360443"/>
    <w:rsid w:val="56AB2B47"/>
    <w:rsid w:val="57B8786C"/>
    <w:rsid w:val="57F4051E"/>
    <w:rsid w:val="58B57CAD"/>
    <w:rsid w:val="592B61C1"/>
    <w:rsid w:val="5A7B0A82"/>
    <w:rsid w:val="5AC11211"/>
    <w:rsid w:val="5B9B13DC"/>
    <w:rsid w:val="5DDC7A8A"/>
    <w:rsid w:val="5E2D4789"/>
    <w:rsid w:val="62E51D43"/>
    <w:rsid w:val="633E7923"/>
    <w:rsid w:val="6401649C"/>
    <w:rsid w:val="6410048D"/>
    <w:rsid w:val="64990483"/>
    <w:rsid w:val="64EF4547"/>
    <w:rsid w:val="65813D24"/>
    <w:rsid w:val="6635290B"/>
    <w:rsid w:val="684D7F02"/>
    <w:rsid w:val="68BE2BAE"/>
    <w:rsid w:val="692872A2"/>
    <w:rsid w:val="694806C9"/>
    <w:rsid w:val="6AC83870"/>
    <w:rsid w:val="6B03586B"/>
    <w:rsid w:val="6DDD5884"/>
    <w:rsid w:val="73026F89"/>
    <w:rsid w:val="73E86D31"/>
    <w:rsid w:val="753D12FE"/>
    <w:rsid w:val="77B84C6C"/>
    <w:rsid w:val="781C169F"/>
    <w:rsid w:val="7A3525A4"/>
    <w:rsid w:val="7B1E74DC"/>
    <w:rsid w:val="7C817D22"/>
    <w:rsid w:val="7DAA32A9"/>
    <w:rsid w:val="7DFF35F5"/>
    <w:rsid w:val="7E6E2255"/>
    <w:rsid w:val="7F282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autoRedefine/>
    <w:unhideWhenUsed/>
    <w:qFormat/>
    <w:uiPriority w:val="99"/>
    <w:pPr>
      <w:spacing w:line="570" w:lineRule="exact"/>
      <w:ind w:firstLine="616"/>
    </w:pPr>
    <w:rPr>
      <w:rFonts w:ascii="Times New Roman" w:eastAsia="方正仿宋_GBK"/>
      <w:spacing w:val="-6"/>
      <w:szCs w:val="24"/>
    </w:rPr>
  </w:style>
  <w:style w:type="paragraph" w:styleId="3">
    <w:name w:val="Body Text"/>
    <w:basedOn w:val="1"/>
    <w:next w:val="1"/>
    <w:unhideWhenUsed/>
    <w:qFormat/>
    <w:uiPriority w:val="99"/>
    <w:pPr>
      <w:spacing w:after="120"/>
    </w:pPr>
    <w:rPr>
      <w:rFonts w:eastAsia="宋体"/>
      <w:szCs w:val="22"/>
    </w:rPr>
  </w:style>
  <w:style w:type="paragraph" w:styleId="4">
    <w:name w:val="Body Text First Indent"/>
    <w:basedOn w:val="3"/>
    <w:next w:val="1"/>
    <w:qFormat/>
    <w:uiPriority w:val="0"/>
    <w:pPr>
      <w:ind w:firstLine="420" w:firstLineChars="100"/>
    </w:pPr>
  </w:style>
  <w:style w:type="paragraph" w:customStyle="1" w:styleId="7">
    <w:name w:val="Default"/>
    <w:next w:val="1"/>
    <w:qFormat/>
    <w:uiPriority w:val="99"/>
    <w:pPr>
      <w:widowControl w:val="0"/>
      <w:autoSpaceDE w:val="0"/>
      <w:autoSpaceDN w:val="0"/>
      <w:adjustRightInd w:val="0"/>
    </w:pPr>
    <w:rPr>
      <w:rFonts w:ascii="方正小标宋_GBK" w:hAnsi="Calibri" w:eastAsia="方正小标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1550</Words>
  <Characters>1641</Characters>
  <Lines>6</Lines>
  <Paragraphs>1</Paragraphs>
  <TotalTime>18</TotalTime>
  <ScaleCrop>false</ScaleCrop>
  <LinksUpToDate>false</LinksUpToDate>
  <CharactersWithSpaces>1703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2022-03-22T03:57:00Z</dcterms:created>
  <dc:creator>L</dc:creator>
  <cp:lastModifiedBy>曹小花</cp:lastModifiedBy>
  <dcterms:modified xsi:type="dcterms:W3CDTF">2024-12-25T09:01:01Z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5907782487B94501B906BFB65E401D17_13</vt:lpwstr>
  </property>
</Properties>
</file>